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Approval Process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Effective [Date] · Owner: [AI Governance Owner]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pStyle w:val="Heading1"/>
      </w:pPr>
      <w:r>
        <w:t xml:space="preserve">Purpose</w:t>
      </w:r>
    </w:p>
    <w:p>
      <w:pPr>
        <w:spacing w:after="140"/>
      </w:pPr>
      <w:r>
        <w:t xml:space="preserve">A lightweight, repeatable path for reviewing and approving new AI tools and new AI use cases before they touch company information. The goal is speed with evidence, not bureaucracy.</w:t>
      </w:r>
    </w:p>
    <w:p>
      <w:pPr>
        <w:pStyle w:val="Heading1"/>
      </w:pPr>
      <w:r>
        <w:t xml:space="preserve">Roles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Role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Requester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Submits the intake form and names the business outcome.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AI Governance Owner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Runs triage, tracks the register, issues decisions.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IT / Security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Reviews identity, data flow, logging, and configuration.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Compliance / Contracts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Reviews regulatory obligations and vendor terms.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Business Owner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Accepts residual risk and owns ongoing use.</w:t>
            </w:r>
          </w:p>
        </w:tc>
      </w:tr>
    </w:tbl>
    <w:p>
      <w:pPr>
        <w:pStyle w:val="Heading1"/>
      </w:pPr>
      <w:r>
        <w:t xml:space="preserve">Process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Intake. Requester submits the form below. Target response: 3 business days.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Triage. Governance Owner classifies risk as Low, Medium, or High using the criteria below.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Review. Low risk: Governance Owner alone. Medium: add IT/Security. High: add Compliance and Business Owner, plus the Vendor Review Checklist.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Decision. Approved, Approved with conditions, or Declined — recorded in writing with rationale.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Configure. IT provisions enterprise licensing, SSO, logging, and data controls before go-live.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Register. Tool is added to the AI Tool Register with data class, owner, and review date.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Review. Reassess annually, or immediately on a material change to the tool, vendor, or data use.</w:t>
      </w:r>
    </w:p>
    <w:p>
      <w:pPr>
        <w:pStyle w:val="Heading1"/>
      </w:pPr>
      <w:r>
        <w:t xml:space="preserve">Risk Triage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5160"/>
        <w:gridCol w:w="2800"/>
      </w:tblGrid>
      <w:tr>
        <w:trPr>
          <w:tblHeader/>
        </w:trP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Risk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Indicators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Review path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Low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Public or internal data only; no integrations; no automated decisions.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Owner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Medium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Internal data at volume; connects to a business system; assists customer-facing work.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IT / Security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High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Confidential or regulated data; automated or consequential decisions; new vendor.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Compliance, Business Owner, Vendor Review</w:t>
            </w:r>
          </w:p>
        </w:tc>
      </w:tr>
    </w:tbl>
    <w:p>
      <w:pPr>
        <w:pStyle w:val="Heading1"/>
      </w:pPr>
      <w:r>
        <w:t xml:space="preserve">Intake Form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rPr>
          <w:tblHeader/>
        </w:trP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Response</w:t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Requester / department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Tool name and vendor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Business problem and expected outcome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Who will use it and how many users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Data the tool will access (classification)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Systems it will integrate with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Does it make or influence decisions about people?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Applicable regulations (CMMC, NIST 800-171, HIPAA, PCI, SOC 2, GDPR, state privacy)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Licensing model and annual cost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Alternative already approved?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Decision Record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rPr>
          <w:tblHeader/>
        </w:trP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Entry</w:t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Risk classification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Decision (Approved / Conditional / Declined)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Conditions or controls required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Approver and date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Next review date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AI Tool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2000"/>
        <w:gridCol w:w="1580"/>
        <w:gridCol w:w="158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Tool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Data class</w:t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Approved</w:t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Next review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2026-08-05T21:53:14.982Z</dcterms:created>
  <dcterms:modified xsi:type="dcterms:W3CDTF">2026-08-05T21:53:14.982Z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