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Employee AI Guidelines</w:t>
      </w:r>
    </w:p>
    <w:p>
      <w:pPr>
        <w:pBdr>
          <w:bottom w:val="single" w:color="B8893B" w:sz="8" w:space="8"/>
        </w:pBdr>
        <w:spacing w:after="120"/>
      </w:pPr>
      <w:r>
        <w:rPr>
          <w:color w:val="555555"/>
          <w:sz w:val="22"/>
          <w:szCs w:val="22"/>
        </w:rPr>
        <w:t xml:space="preserve">[Organization Name] · A plain-language companion to the AI Acceptable Use Policy</w:t>
      </w:r>
    </w:p>
    <w:p>
      <w:pPr>
        <w:spacing w:after="240"/>
      </w:pPr>
      <w:r>
        <w:rPr>
          <w:i/>
          <w:iCs/>
          <w:color w:val="777777"/>
          <w:sz w:val="18"/>
          <w:szCs w:val="18"/>
        </w:rPr>
        <w:t xml:space="preserve">Template provided by Tiffany Lederle · tiffanylederle.com — replace bracketed fields with your organization's details before adoption.</w:t>
      </w:r>
    </w:p>
    <w:p>
      <w:pPr>
        <w:spacing w:after="140"/>
      </w:pPr>
      <w:r>
        <w:t xml:space="preserve">AI can make your work faster and better. It can also leak information, invent facts, and create compliance problems. These guidelines tell you how to get the upside without the damage. If anything here conflicts with your contract or client requirements, the stricter rule wins.</w:t>
      </w:r>
    </w:p>
    <w:p>
      <w:pPr>
        <w:pStyle w:val="Heading1"/>
      </w:pPr>
      <w:r>
        <w:t xml:space="preserve">The Five Rules</w:t>
      </w:r>
    </w:p>
    <w:p>
      <w:pPr>
        <w:pStyle w:val="ListParagraph"/>
        <w:numPr>
          <w:ilvl w:val="0"/>
          <w:numId w:val="2"/>
        </w:numPr>
        <w:spacing w:after="80"/>
      </w:pPr>
      <w:r>
        <w:t xml:space="preserve">Use approved tools with your company account. Never a personal account for company work.</w:t>
      </w:r>
    </w:p>
    <w:p>
      <w:pPr>
        <w:pStyle w:val="ListParagraph"/>
        <w:numPr>
          <w:ilvl w:val="0"/>
          <w:numId w:val="2"/>
        </w:numPr>
        <w:spacing w:after="80"/>
      </w:pPr>
      <w:r>
        <w:t xml:space="preserve">Never paste confidential, customer, employee, or regulated data into an unapproved tool.</w:t>
      </w:r>
    </w:p>
    <w:p>
      <w:pPr>
        <w:pStyle w:val="ListParagraph"/>
        <w:numPr>
          <w:ilvl w:val="0"/>
          <w:numId w:val="2"/>
        </w:numPr>
        <w:spacing w:after="80"/>
      </w:pPr>
      <w:r>
        <w:t xml:space="preserve">Verify every fact, number, citation, name, and quote before it leaves your hands.</w:t>
      </w:r>
    </w:p>
    <w:p>
      <w:pPr>
        <w:pStyle w:val="ListParagraph"/>
        <w:numPr>
          <w:ilvl w:val="0"/>
          <w:numId w:val="2"/>
        </w:numPr>
        <w:spacing w:after="80"/>
      </w:pPr>
      <w:r>
        <w:t xml:space="preserve">You own the output. AI assists; you are accountable.</w:t>
      </w:r>
    </w:p>
    <w:p>
      <w:pPr>
        <w:pStyle w:val="ListParagraph"/>
        <w:numPr>
          <w:ilvl w:val="0"/>
          <w:numId w:val="2"/>
        </w:numPr>
        <w:spacing w:after="80"/>
      </w:pPr>
      <w:r>
        <w:t xml:space="preserve">Ask before you improvise. New tool or new use case? Submit it through the AI Approval Process.</w:t>
      </w:r>
    </w:p>
    <w:p>
      <w:pPr>
        <w:pStyle w:val="Heading1"/>
      </w:pPr>
      <w:r>
        <w:t xml:space="preserve">Before You Prompt</w:t>
      </w:r>
    </w:p>
    <w:p>
      <w:pPr>
        <w:pStyle w:val="ListParagraph"/>
        <w:numPr>
          <w:ilvl w:val="0"/>
          <w:numId w:val="3"/>
        </w:numPr>
        <w:spacing w:after="80"/>
      </w:pPr>
      <w:r>
        <w:t xml:space="preserve">What data am I about to share, and how is it classified?</w:t>
      </w:r>
    </w:p>
    <w:p>
      <w:pPr>
        <w:pStyle w:val="ListParagraph"/>
        <w:numPr>
          <w:ilvl w:val="0"/>
          <w:numId w:val="3"/>
        </w:numPr>
        <w:spacing w:after="80"/>
      </w:pPr>
      <w:r>
        <w:t xml:space="preserve">Is this tool approved for that data class?</w:t>
      </w:r>
    </w:p>
    <w:p>
      <w:pPr>
        <w:pStyle w:val="ListParagraph"/>
        <w:numPr>
          <w:ilvl w:val="0"/>
          <w:numId w:val="3"/>
        </w:numPr>
        <w:spacing w:after="80"/>
      </w:pPr>
      <w:r>
        <w:t xml:space="preserve">Would I be comfortable if this prompt appeared in a contract audit?</w:t>
      </w:r>
    </w:p>
    <w:p>
      <w:pPr>
        <w:pStyle w:val="ListParagraph"/>
        <w:numPr>
          <w:ilvl w:val="0"/>
          <w:numId w:val="3"/>
        </w:numPr>
        <w:spacing w:after="80"/>
      </w:pPr>
      <w:r>
        <w:t xml:space="preserve">How will I verify the output?</w:t>
      </w:r>
    </w:p>
    <w:p>
      <w:pPr>
        <w:pStyle w:val="Heading1"/>
      </w:pPr>
      <w:r>
        <w:t xml:space="preserve">Understanding Hallucinations</w:t>
      </w:r>
    </w:p>
    <w:p>
      <w:pPr>
        <w:spacing w:after="140"/>
      </w:pPr>
      <w:r>
        <w:t xml:space="preserve">AI tools generate the most likely next words, not verified truth. They produce confident, fluent, well-formatted answers that are sometimes wrong — invented citations, plausible but false regulations, misremembered numbers, fabricated case law, and outdated requirements are all common.</w:t>
      </w:r>
    </w:p>
    <w:p>
      <w:pPr>
        <w:pStyle w:val="Heading2"/>
      </w:pPr>
      <w:r>
        <w:t xml:space="preserve">How to verify</w:t>
      </w:r>
    </w:p>
    <w:p>
      <w:pPr>
        <w:pStyle w:val="ListParagraph"/>
        <w:numPr>
          <w:ilvl w:val="0"/>
          <w:numId w:val="3"/>
        </w:numPr>
        <w:spacing w:after="80"/>
      </w:pPr>
      <w:r>
        <w:t xml:space="preserve">Trace every factual claim to a primary source you can open.</w:t>
      </w:r>
    </w:p>
    <w:p>
      <w:pPr>
        <w:pStyle w:val="ListParagraph"/>
        <w:numPr>
          <w:ilvl w:val="0"/>
          <w:numId w:val="3"/>
        </w:numPr>
        <w:spacing w:after="80"/>
      </w:pPr>
      <w:r>
        <w:t xml:space="preserve">Recompute any number that matters instead of trusting the arithmetic.</w:t>
      </w:r>
    </w:p>
    <w:p>
      <w:pPr>
        <w:pStyle w:val="ListParagraph"/>
        <w:numPr>
          <w:ilvl w:val="0"/>
          <w:numId w:val="3"/>
        </w:numPr>
        <w:spacing w:after="80"/>
      </w:pPr>
      <w:r>
        <w:t xml:space="preserve">Confirm regulatory or contractual language against the actual document.</w:t>
      </w:r>
    </w:p>
    <w:p>
      <w:pPr>
        <w:pStyle w:val="ListParagraph"/>
        <w:numPr>
          <w:ilvl w:val="0"/>
          <w:numId w:val="3"/>
        </w:numPr>
        <w:spacing w:after="80"/>
      </w:pPr>
      <w:r>
        <w:t xml:space="preserve">Treat quotes, names, and citations as unverified until checked.</w:t>
      </w:r>
    </w:p>
    <w:p>
      <w:pPr>
        <w:pStyle w:val="Heading1"/>
      </w:pPr>
      <w:r>
        <w:t xml:space="preserve">Good Uses</w:t>
      </w:r>
    </w:p>
    <w:p>
      <w:pPr>
        <w:pStyle w:val="ListParagraph"/>
        <w:numPr>
          <w:ilvl w:val="0"/>
          <w:numId w:val="3"/>
        </w:numPr>
        <w:spacing w:after="80"/>
      </w:pPr>
      <w:r>
        <w:t xml:space="preserve">First drafts of internal documents, outlines, and summaries.</w:t>
      </w:r>
    </w:p>
    <w:p>
      <w:pPr>
        <w:pStyle w:val="ListParagraph"/>
        <w:numPr>
          <w:ilvl w:val="0"/>
          <w:numId w:val="3"/>
        </w:numPr>
        <w:spacing w:after="80"/>
      </w:pPr>
      <w:r>
        <w:t xml:space="preserve">Rewriting for clarity, tone, or length.</w:t>
      </w:r>
    </w:p>
    <w:p>
      <w:pPr>
        <w:pStyle w:val="ListParagraph"/>
        <w:numPr>
          <w:ilvl w:val="0"/>
          <w:numId w:val="3"/>
        </w:numPr>
        <w:spacing w:after="80"/>
      </w:pPr>
      <w:r>
        <w:t xml:space="preserve">Brainstorming approaches, risks, questions, and checklists.</w:t>
      </w:r>
    </w:p>
    <w:p>
      <w:pPr>
        <w:pStyle w:val="ListParagraph"/>
        <w:numPr>
          <w:ilvl w:val="0"/>
          <w:numId w:val="3"/>
        </w:numPr>
        <w:spacing w:after="80"/>
      </w:pPr>
      <w:r>
        <w:t xml:space="preserve">Explaining unfamiliar concepts so you can research faster.</w:t>
      </w:r>
    </w:p>
    <w:p>
      <w:pPr>
        <w:pStyle w:val="ListParagraph"/>
        <w:numPr>
          <w:ilvl w:val="0"/>
          <w:numId w:val="3"/>
        </w:numPr>
        <w:spacing w:after="80"/>
      </w:pPr>
      <w:r>
        <w:t xml:space="preserve">Structuring data you already have access to.</w:t>
      </w:r>
    </w:p>
    <w:p>
      <w:pPr>
        <w:pStyle w:val="Heading1"/>
      </w:pPr>
      <w:r>
        <w:t xml:space="preserve">Uses That Require Approval</w:t>
      </w:r>
    </w:p>
    <w:p>
      <w:pPr>
        <w:pStyle w:val="ListParagraph"/>
        <w:numPr>
          <w:ilvl w:val="0"/>
          <w:numId w:val="3"/>
        </w:numPr>
        <w:spacing w:after="80"/>
      </w:pPr>
      <w:r>
        <w:t xml:space="preserve">Anything touching customer, employee, or regulated data.</w:t>
      </w:r>
    </w:p>
    <w:p>
      <w:pPr>
        <w:pStyle w:val="ListParagraph"/>
        <w:numPr>
          <w:ilvl w:val="0"/>
          <w:numId w:val="3"/>
        </w:numPr>
        <w:spacing w:after="80"/>
      </w:pPr>
      <w:r>
        <w:t xml:space="preserve">Client or agency deliverables and proposal content.</w:t>
      </w:r>
    </w:p>
    <w:p>
      <w:pPr>
        <w:pStyle w:val="ListParagraph"/>
        <w:numPr>
          <w:ilvl w:val="0"/>
          <w:numId w:val="3"/>
        </w:numPr>
        <w:spacing w:after="80"/>
      </w:pPr>
      <w:r>
        <w:t xml:space="preserve">Decisions about people: hiring, performance, compensation, discipline.</w:t>
      </w:r>
    </w:p>
    <w:p>
      <w:pPr>
        <w:pStyle w:val="ListParagraph"/>
        <w:numPr>
          <w:ilvl w:val="0"/>
          <w:numId w:val="3"/>
        </w:numPr>
        <w:spacing w:after="80"/>
      </w:pPr>
      <w:r>
        <w:t xml:space="preserve">Financial reporting, legal positions, and safety-critical work.</w:t>
      </w:r>
    </w:p>
    <w:p>
      <w:pPr>
        <w:pStyle w:val="ListParagraph"/>
        <w:numPr>
          <w:ilvl w:val="0"/>
          <w:numId w:val="3"/>
        </w:numPr>
        <w:spacing w:after="80"/>
      </w:pPr>
      <w:r>
        <w:t xml:space="preserve">Connecting an AI tool to a company system or data source.</w:t>
      </w:r>
    </w:p>
    <w:p>
      <w:pPr>
        <w:pStyle w:val="Heading1"/>
      </w:pPr>
      <w:r>
        <w:t xml:space="preserve">Writing Better Prompts</w:t>
      </w:r>
    </w:p>
    <w:p>
      <w:pPr>
        <w:pStyle w:val="ListParagraph"/>
        <w:numPr>
          <w:ilvl w:val="0"/>
          <w:numId w:val="3"/>
        </w:numPr>
        <w:spacing w:after="80"/>
      </w:pPr>
      <w:r>
        <w:t xml:space="preserve">State the role, audience, and purpose.</w:t>
      </w:r>
    </w:p>
    <w:p>
      <w:pPr>
        <w:pStyle w:val="ListParagraph"/>
        <w:numPr>
          <w:ilvl w:val="0"/>
          <w:numId w:val="3"/>
        </w:numPr>
        <w:spacing w:after="80"/>
      </w:pPr>
      <w:r>
        <w:t xml:space="preserve">Give real context and constraints instead of asking a generic question.</w:t>
      </w:r>
    </w:p>
    <w:p>
      <w:pPr>
        <w:pStyle w:val="ListParagraph"/>
        <w:numPr>
          <w:ilvl w:val="0"/>
          <w:numId w:val="3"/>
        </w:numPr>
        <w:spacing w:after="80"/>
      </w:pPr>
      <w:r>
        <w:t xml:space="preserve">Ask for the format you actually need.</w:t>
      </w:r>
    </w:p>
    <w:p>
      <w:pPr>
        <w:pStyle w:val="ListParagraph"/>
        <w:numPr>
          <w:ilvl w:val="0"/>
          <w:numId w:val="3"/>
        </w:numPr>
        <w:spacing w:after="80"/>
      </w:pPr>
      <w:r>
        <w:t xml:space="preserve">Ask the tool to flag uncertainty and list what it assumed.</w:t>
      </w:r>
    </w:p>
    <w:p>
      <w:pPr>
        <w:pStyle w:val="ListParagraph"/>
        <w:numPr>
          <w:ilvl w:val="0"/>
          <w:numId w:val="3"/>
        </w:numPr>
        <w:spacing w:after="80"/>
      </w:pPr>
      <w:r>
        <w:t xml:space="preserve">Iterate — refine the prompt rather than accepting a weak first answer.</w:t>
      </w:r>
    </w:p>
    <w:p>
      <w:pPr>
        <w:pStyle w:val="Heading1"/>
      </w:pPr>
      <w:r>
        <w:t xml:space="preserve">If Something Goes Wrong</w:t>
      </w:r>
    </w:p>
    <w:p>
      <w:pPr>
        <w:spacing w:after="140"/>
      </w:pPr>
      <w:r>
        <w:t xml:space="preserve">If you believe sensitive information was entered into an unapproved tool, or AI-generated errors reached a customer or agency, report it immediately to [Contact / Email]. Reporting quickly is treated as good judgment, not misconduct. Do not attempt to delete evidence or resolve it silently.</w:t>
      </w:r>
    </w:p>
    <w:p>
      <w:pPr>
        <w:pStyle w:val="Heading1"/>
      </w:pPr>
      <w:r>
        <w:t xml:space="preserve">Questions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5960"/>
      </w:tblGrid>
      <w:tr>
        <w:trPr>
          <w:tblHeader/>
        </w:trPr>
        <w:tc>
          <w:tcPr>
            <w:tcW w:type="dxa" w:w="340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Topic</w:t>
            </w:r>
          </w:p>
        </w:tc>
        <w:tc>
          <w:tcPr>
            <w:tcW w:type="dxa" w:w="5960"/>
            <w:tcBorders>
              <w:top w:val="single" w:color="CCCCCC" w:sz="1"/>
              <w:left w:val="single" w:color="CCCCCC" w:sz="1"/>
              <w:bottom w:val="single" w:color="CCCCCC" w:sz="1"/>
              <w:right w:val="single" w:color="CCCCCC" w:sz="1"/>
            </w:tcBorders>
            <w:shd w:fill="EDF1F7" w:val="clear"/>
            <w:tcMar>
              <w:top w:type="dxa" w:w="80"/>
              <w:left w:type="dxa" w:w="120"/>
              <w:bottom w:type="dxa" w:w="80"/>
              <w:right w:type="dxa" w:w="120"/>
            </w:tcMar>
          </w:tcPr>
          <w:p>
            <w:r>
              <w:rPr>
                <w:b/>
                <w:bCs/>
                <w:color w:val="1F2A44"/>
                <w:sz w:val="20"/>
                <w:szCs w:val="20"/>
              </w:rPr>
              <w:t xml:space="preserve">Contact</w:t>
            </w:r>
          </w:p>
        </w:tc>
      </w:tr>
      <w:tr>
        <w:tc>
          <w:tcPr>
            <w:tcW w:type="dxa" w:w="3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Policy and approvals</w:t>
            </w:r>
          </w:p>
        </w:tc>
        <w:tc>
          <w:tcPr>
            <w:tcW w:type="dxa" w:w="59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[Name, title, email]</w:t>
            </w:r>
          </w:p>
        </w:tc>
      </w:tr>
      <w:tr>
        <w:tc>
          <w:tcPr>
            <w:tcW w:type="dxa" w:w="3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Security concerns and incidents</w:t>
            </w:r>
          </w:p>
        </w:tc>
        <w:tc>
          <w:tcPr>
            <w:tcW w:type="dxa" w:w="59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[Name, title, email]</w:t>
            </w:r>
          </w:p>
        </w:tc>
      </w:tr>
      <w:tr>
        <w:tc>
          <w:tcPr>
            <w:tcW w:type="dxa" w:w="3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Compliance and contracts</w:t>
            </w:r>
          </w:p>
        </w:tc>
        <w:tc>
          <w:tcPr>
            <w:tcW w:type="dxa" w:w="59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[Name, title, email]</w:t>
            </w:r>
          </w:p>
        </w:tc>
      </w:tr>
      <w:tr>
        <w:tc>
          <w:tcPr>
            <w:tcW w:type="dxa" w:w="3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Tool access and licensing</w:t>
            </w:r>
          </w:p>
        </w:tc>
        <w:tc>
          <w:tcPr>
            <w:tcW w:type="dxa" w:w="59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0"/>
                <w:szCs w:val="20"/>
              </w:rPr>
              <w:t xml:space="preserve">[Name, title, email]</w:t>
            </w: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8"/>
        <w:szCs w:val="18"/>
      </w:rPr>
      <w:t xml:space="preserve">Page </w:t>
    </w:r>
    <w:r>
      <w:rPr>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120"/>
    </w:pPr>
    <w:rPr>
      <w:rFonts w:ascii="Arial" w:cs="Arial" w:eastAsia="Arial" w:hAnsi="Arial"/>
      <w:b/>
      <w:bCs/>
      <w:color w:val="1F2A44"/>
      <w:sz w:val="40"/>
      <w:szCs w:val="40"/>
    </w:rPr>
  </w:style>
  <w:style w:type="paragraph" w:styleId="Heading1">
    <w:name w:val="Heading 1"/>
    <w:basedOn w:val="Normal"/>
    <w:next w:val="Normal"/>
    <w:qFormat/>
    <w:pPr>
      <w:spacing w:after="160" w:before="320"/>
      <w:outlineLvl w:val="0"/>
    </w:pPr>
    <w:rPr>
      <w:rFonts w:ascii="Arial" w:cs="Arial" w:eastAsia="Arial" w:hAnsi="Arial"/>
      <w:b/>
      <w:bCs/>
      <w:color w:val="1F2A44"/>
      <w:sz w:val="28"/>
      <w:szCs w:val="28"/>
    </w:rPr>
  </w:style>
  <w:style w:type="paragraph" w:styleId="Heading2">
    <w:name w:val="Heading 2"/>
    <w:basedOn w:val="Normal"/>
    <w:next w:val="Normal"/>
    <w:qFormat/>
    <w:pPr>
      <w:spacing w:after="100" w:before="220"/>
      <w:outlineLvl w:val="1"/>
    </w:pPr>
    <w:rPr>
      <w:rFonts w:ascii="Arial" w:cs="Arial" w:eastAsia="Arial" w:hAnsi="Arial"/>
      <w:b/>
      <w:bCs/>
      <w:color w:val="1F2A44"/>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2026-08-05T21:53:14.984Z</dcterms:created>
  <dcterms:modified xsi:type="dcterms:W3CDTF">2026-08-05T21:53:14.984Z</dcterms:modified>
</cp:coreProperties>
</file>

<file path=docProps/custom.xml><?xml version="1.0" encoding="utf-8"?>
<Properties xmlns="http://schemas.openxmlformats.org/officeDocument/2006/custom-properties" xmlns:vt="http://schemas.openxmlformats.org/officeDocument/2006/docPropsVTypes"/>
</file>