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Secure AI Implementation Checklist</w:t>
      </w:r>
    </w:p>
    <w:p>
      <w:pPr>
        <w:pBdr>
          <w:bottom w:val="single" w:color="B8893B" w:sz="8" w:space="8"/>
        </w:pBdr>
        <w:spacing w:after="120"/>
      </w:pPr>
      <w:r>
        <w:rPr>
          <w:color w:val="555555"/>
          <w:sz w:val="22"/>
          <w:szCs w:val="22"/>
        </w:rPr>
        <w:t xml:space="preserve">[Organization Name] · Review date [Date] · Reviewer: [Name / Title] · Version 1.0</w:t>
      </w:r>
    </w:p>
    <w:p>
      <w:pPr>
        <w:spacing w:after="240"/>
      </w:pPr>
      <w:r>
        <w:rPr>
          <w:i/>
          <w:iCs/>
          <w:color w:val="777777"/>
          <w:sz w:val="18"/>
          <w:szCs w:val="18"/>
        </w:rPr>
        <w:t xml:space="preserve">Template provided by Tiffany Lederle · tiffanylederle.com — replace bracketed fields with your organization's details before adoption.</w:t>
      </w:r>
    </w:p>
    <w:p>
      <w:pPr>
        <w:spacing w:after="140"/>
      </w:pPr>
      <w:r>
        <w:t xml:space="preserve">Use this checklist before you roll out an AI tool, and again at least annually for every tool already in use. Work through the five domains in order. Anything marked “N” in a Critical row should block production use until it is resolved or formally risk-accepted in writing by [Executive Owner].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Rollout stage</w:t>
            </w:r>
          </w:p>
        </w:tc>
        <w:tc>
          <w:tcPr>
            <w:tcW w:type="dxa" w:w="676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What to complete</w:t>
            </w:r>
          </w:p>
        </w:tc>
      </w:tr>
      <w:t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Before pilot</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Sections 1–5 reviewed at a high level; approved tool decision recorded.</w:t>
            </w:r>
          </w:p>
        </w:tc>
      </w:tr>
      <w:t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Before production</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All Critical rows answered Y or formally risk-accepted.</w:t>
            </w:r>
          </w:p>
        </w:tc>
      </w:tr>
      <w:t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Ongoing</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Full re-review annually, or whenever the vendor changes terms, models, or subprocessors.</w:t>
            </w:r>
          </w:p>
        </w:tc>
      </w:tr>
    </w:tbl>
    <w:p>
      <w:pPr>
        <w:pStyle w:val="Heading1"/>
      </w:pPr>
      <w:r>
        <w:t xml:space="preserve">1. Identity &amp; Access</w:t>
      </w:r>
    </w:p>
    <w:p>
      <w:pPr>
        <w:spacing w:after="140"/>
      </w:pPr>
      <w:r>
        <w:t xml:space="preserve">Goal: only the right people reach the tool, through your identity system, with access that can be removed in one place.</w:t>
      </w:r>
    </w:p>
    <w:p>
      <w:pPr>
        <w:pStyle w:val="Heading2"/>
      </w:pPr>
      <w:r>
        <w:t xml:space="preserve">Critical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500"/>
        <w:gridCol w:w="1400"/>
        <w:gridCol w:w="2260"/>
      </w:tblGrid>
      <w:tr>
        <w:trPr>
          <w:tblHeader/>
        </w:trPr>
        <w:tc>
          <w:tcPr>
            <w:tcW w:type="dxa" w:w="42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Control</w:t>
            </w:r>
          </w:p>
        </w:tc>
        <w:tc>
          <w:tcPr>
            <w:tcW w:type="dxa" w:w="15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Status (Y / N / N/A)</w:t>
            </w:r>
          </w:p>
        </w:tc>
        <w:tc>
          <w:tcPr>
            <w:tcW w:type="dxa" w:w="14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Owner</w:t>
            </w:r>
          </w:p>
        </w:tc>
        <w:tc>
          <w:tcPr>
            <w:tcW w:type="dxa" w:w="226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Evidence or notes</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Access is provisioned through single sign-on (SSO) using the corporate identity provider — not standalone tool logins.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Multi-factor authentication is enforced for every user, including administrators.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Deprovisioning is tied to the HR offboarding process, so access ends the same day employment or the contract does.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Administrative accounts are named individuals, limited to [number], and separate from day-to-day user accounts.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Role-based permissions follow least privilege: users can reach only the data and workspaces their role requires.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bl>
    <w:p>
      <w:pPr>
        <w:pStyle w:val="Heading2"/>
      </w:pPr>
      <w:r>
        <w:t xml:space="preserve">Supporting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500"/>
        <w:gridCol w:w="1400"/>
        <w:gridCol w:w="2260"/>
      </w:tblGrid>
      <w:tr>
        <w:trPr>
          <w:tblHeader/>
        </w:trPr>
        <w:tc>
          <w:tcPr>
            <w:tcW w:type="dxa" w:w="42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Control</w:t>
            </w:r>
          </w:p>
        </w:tc>
        <w:tc>
          <w:tcPr>
            <w:tcW w:type="dxa" w:w="15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Status (Y / N / N/A)</w:t>
            </w:r>
          </w:p>
        </w:tc>
        <w:tc>
          <w:tcPr>
            <w:tcW w:type="dxa" w:w="14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Owner</w:t>
            </w:r>
          </w:p>
        </w:tc>
        <w:tc>
          <w:tcPr>
            <w:tcW w:type="dxa" w:w="226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Evidence or notes</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Shared or generic accounts, and shared API keys, are prohibited and technically prevented.</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API keys and service credentials are stored in a managed secret store, rotated on a [90-day] schedule, and scoped to one workload.</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Third parties and contractors receive time-bound access with a defined expiration date.</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Access reviews are performed [quarterly] and the results are retained.</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Session timeout and device requirements match the standard applied to other business systems.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bl>
    <w:p>
      <w:pPr>
        <w:pStyle w:val="Heading1"/>
      </w:pPr>
      <w:r>
        <w:t xml:space="preserve">2. Data Protection</w:t>
      </w:r>
    </w:p>
    <w:p>
      <w:pPr>
        <w:spacing w:after="140"/>
      </w:pPr>
      <w:r>
        <w:t xml:space="preserve">Goal: know exactly what data enters the tool, where it goes, how long it stays, and whether it can train a model.</w:t>
      </w:r>
    </w:p>
    <w:p>
      <w:pPr>
        <w:pStyle w:val="Heading2"/>
      </w:pPr>
      <w:r>
        <w:t xml:space="preserve">Critical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500"/>
        <w:gridCol w:w="1400"/>
        <w:gridCol w:w="2260"/>
      </w:tblGrid>
      <w:tr>
        <w:trPr>
          <w:tblHeader/>
        </w:trPr>
        <w:tc>
          <w:tcPr>
            <w:tcW w:type="dxa" w:w="42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Control</w:t>
            </w:r>
          </w:p>
        </w:tc>
        <w:tc>
          <w:tcPr>
            <w:tcW w:type="dxa" w:w="15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Status (Y / N / N/A)</w:t>
            </w:r>
          </w:p>
        </w:tc>
        <w:tc>
          <w:tcPr>
            <w:tcW w:type="dxa" w:w="14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Owner</w:t>
            </w:r>
          </w:p>
        </w:tc>
        <w:tc>
          <w:tcPr>
            <w:tcW w:type="dxa" w:w="226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Evidence or notes</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Contract terms confirm in writing that company inputs and outputs are not used to train vendor or third-party models.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Permitted data classifications for this tool are documented, and regulated data (CUI, PHI, PCI, export-controlled) is either explicitly authorized or blocked.</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Data retention is defined and configured — including whether prompts and chat history are retained, and for how long.</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Data is encrypted in transit (TLS 1.2+) and at rest, and data residency meets [contractual / regulatory] requirements.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Subprocessors and model providers behind the tool are identified and acceptable.</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bl>
    <w:p>
      <w:pPr>
        <w:pStyle w:val="Heading2"/>
      </w:pPr>
      <w:r>
        <w:t xml:space="preserve">Supporting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500"/>
        <w:gridCol w:w="1400"/>
        <w:gridCol w:w="2260"/>
      </w:tblGrid>
      <w:tr>
        <w:trPr>
          <w:tblHeader/>
        </w:trPr>
        <w:tc>
          <w:tcPr>
            <w:tcW w:type="dxa" w:w="42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Control</w:t>
            </w:r>
          </w:p>
        </w:tc>
        <w:tc>
          <w:tcPr>
            <w:tcW w:type="dxa" w:w="15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Status (Y / N / N/A)</w:t>
            </w:r>
          </w:p>
        </w:tc>
        <w:tc>
          <w:tcPr>
            <w:tcW w:type="dxa" w:w="14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Owner</w:t>
            </w:r>
          </w:p>
        </w:tc>
        <w:tc>
          <w:tcPr>
            <w:tcW w:type="dxa" w:w="226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Evidence or notes</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Any connector or integration (email, file storage, CRM, code repository) is scoped to specific folders or datasets rather than full-tenant access.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Prompt, output, and admin logging is enabled and retained for [12 months] for investigation.</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Data loss prevention rules cover AI tool destinations, including web upload and paste where feasible.</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 documented, testable process exists to export and delete company data on termination.</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Outputs that will be stored or shared are labeled or handled per your existing data classification scheme.</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bl>
    <w:p>
      <w:pPr>
        <w:pStyle w:val="Heading1"/>
      </w:pPr>
      <w:r>
        <w:t xml:space="preserve">3. Approved Tools</w:t>
      </w:r>
    </w:p>
    <w:p>
      <w:pPr>
        <w:spacing w:after="140"/>
      </w:pPr>
      <w:r>
        <w:t xml:space="preserve">Goal: a short, deliberate list of tools that people actually know about — and a working path for adding to it.</w:t>
      </w:r>
    </w:p>
    <w:p>
      <w:pPr>
        <w:pStyle w:val="Heading2"/>
      </w:pPr>
      <w:r>
        <w:t xml:space="preserve">Critical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500"/>
        <w:gridCol w:w="1400"/>
        <w:gridCol w:w="2260"/>
      </w:tblGrid>
      <w:tr>
        <w:trPr>
          <w:tblHeader/>
        </w:trPr>
        <w:tc>
          <w:tcPr>
            <w:tcW w:type="dxa" w:w="42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Control</w:t>
            </w:r>
          </w:p>
        </w:tc>
        <w:tc>
          <w:tcPr>
            <w:tcW w:type="dxa" w:w="15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Status (Y / N / N/A)</w:t>
            </w:r>
          </w:p>
        </w:tc>
        <w:tc>
          <w:tcPr>
            <w:tcW w:type="dxa" w:w="14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Owner</w:t>
            </w:r>
          </w:p>
        </w:tc>
        <w:tc>
          <w:tcPr>
            <w:tcW w:type="dxa" w:w="226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Evidence or notes</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The tool appears on the approved AI tool register with an owner, approved uses, and permitted data classes.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 documented approval process exists for new tools, with a named decision-maker and a target turnaround of [5 business days].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Unapproved AI tools are discoverable — through network, SaaS discovery, expense, or browser controls — and addressed when found.</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AI features silently enabled inside existing platforms (meeting notetakers, assistants, summarizers) have been inventoried and consciously turned on or off.</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bl>
    <w:p>
      <w:pPr>
        <w:pStyle w:val="Heading2"/>
      </w:pPr>
      <w:r>
        <w:t xml:space="preserve">Supporting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500"/>
        <w:gridCol w:w="1400"/>
        <w:gridCol w:w="2260"/>
      </w:tblGrid>
      <w:tr>
        <w:trPr>
          <w:tblHeader/>
        </w:trPr>
        <w:tc>
          <w:tcPr>
            <w:tcW w:type="dxa" w:w="42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Control</w:t>
            </w:r>
          </w:p>
        </w:tc>
        <w:tc>
          <w:tcPr>
            <w:tcW w:type="dxa" w:w="15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Status (Y / N / N/A)</w:t>
            </w:r>
          </w:p>
        </w:tc>
        <w:tc>
          <w:tcPr>
            <w:tcW w:type="dxa" w:w="14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Owner</w:t>
            </w:r>
          </w:p>
        </w:tc>
        <w:tc>
          <w:tcPr>
            <w:tcW w:type="dxa" w:w="226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Evidence or notes</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Each approved tool has a named business owner accountable for renewal, configuration, and annual review.</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Browser extensions and plugins that transmit company content require separate review.</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The register records license count, cost, and renewal date so shadow spend is visible.</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 simple, publicized request path exists so employees ask instead of working around the list.</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bl>
    <w:p>
      <w:pPr>
        <w:pStyle w:val="Heading1"/>
      </w:pPr>
      <w:r>
        <w:t xml:space="preserve">4. Enterprise vs. Personal Accounts</w:t>
      </w:r>
    </w:p>
    <w:p>
      <w:pPr>
        <w:spacing w:after="140"/>
      </w:pPr>
      <w:r>
        <w:t xml:space="preserve">Goal: company work happens in the company tenant. This is the single most common failure point in real deployments.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680"/>
        <w:gridCol w:w="3480"/>
      </w:tblGrid>
      <w:tr>
        <w:trPr>
          <w:tblHeader/>
        </w:trPr>
        <w:tc>
          <w:tcPr>
            <w:tcW w:type="dxa" w:w="22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Dimension</w:t>
            </w:r>
          </w:p>
        </w:tc>
        <w:tc>
          <w:tcPr>
            <w:tcW w:type="dxa" w:w="368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Enterprise / business tier</w:t>
            </w:r>
          </w:p>
        </w:tc>
        <w:tc>
          <w:tcPr>
            <w:tcW w:type="dxa" w:w="348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Personal or free account</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Training on your data</w:t>
            </w:r>
          </w:p>
        </w:tc>
        <w:tc>
          <w:tcPr>
            <w:tcW w:type="dxa" w:w="3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Contractually excluded</w:t>
            </w:r>
          </w:p>
        </w:tc>
        <w:tc>
          <w:tcPr>
            <w:tcW w:type="dxa" w:w="34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Frequently permitted by default</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Admin visibility and logging</w:t>
            </w:r>
          </w:p>
        </w:tc>
        <w:tc>
          <w:tcPr>
            <w:tcW w:type="dxa" w:w="3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Available to the organization</w:t>
            </w:r>
          </w:p>
        </w:tc>
        <w:tc>
          <w:tcPr>
            <w:tcW w:type="dxa" w:w="34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None</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Offboarding control</w:t>
            </w:r>
          </w:p>
        </w:tc>
        <w:tc>
          <w:tcPr>
            <w:tcW w:type="dxa" w:w="3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Revoked centrally through SSO</w:t>
            </w:r>
          </w:p>
        </w:tc>
        <w:tc>
          <w:tcPr>
            <w:tcW w:type="dxa" w:w="34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Employee keeps the account and its history</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Data processing agreement</w:t>
            </w:r>
          </w:p>
        </w:tc>
        <w:tc>
          <w:tcPr>
            <w:tcW w:type="dxa" w:w="3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Signed and enforceable</w:t>
            </w:r>
          </w:p>
        </w:tc>
        <w:tc>
          <w:tcPr>
            <w:tcW w:type="dxa" w:w="34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Consumer terms only</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Regulated data eligibility</w:t>
            </w:r>
          </w:p>
        </w:tc>
        <w:tc>
          <w:tcPr>
            <w:tcW w:type="dxa" w:w="3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Possible where terms and controls support it</w:t>
            </w:r>
          </w:p>
        </w:tc>
        <w:tc>
          <w:tcPr>
            <w:tcW w:type="dxa" w:w="34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Never</w:t>
            </w:r>
          </w:p>
        </w:tc>
      </w:tr>
    </w:tbl>
    <w:p>
      <w:pPr>
        <w:pStyle w:val="Heading2"/>
      </w:pPr>
      <w:r>
        <w:t xml:space="preserve">Critical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500"/>
        <w:gridCol w:w="1400"/>
        <w:gridCol w:w="2260"/>
      </w:tblGrid>
      <w:tr>
        <w:trPr>
          <w:tblHeader/>
        </w:trPr>
        <w:tc>
          <w:tcPr>
            <w:tcW w:type="dxa" w:w="42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Control</w:t>
            </w:r>
          </w:p>
        </w:tc>
        <w:tc>
          <w:tcPr>
            <w:tcW w:type="dxa" w:w="15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Status (Y / N / N/A)</w:t>
            </w:r>
          </w:p>
        </w:tc>
        <w:tc>
          <w:tcPr>
            <w:tcW w:type="dxa" w:w="14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Owner</w:t>
            </w:r>
          </w:p>
        </w:tc>
        <w:tc>
          <w:tcPr>
            <w:tcW w:type="dxa" w:w="226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Evidence or notes</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All company AI use runs on enterprise, business, or team-tier accounts held in the company tenant — not individual subscriptions.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Using personal AI accounts for company work, and uploading company files to them, is prohibited in policy and communicated to staff.</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Employees cannot register the company domain on a personal-tier account, and any existing self-signups have been claimed or shut down.</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AI tool subscriptions are not reimbursed through expense reports outside the approval process.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bl>
    <w:p>
      <w:pPr>
        <w:pStyle w:val="Heading2"/>
      </w:pPr>
      <w:r>
        <w:t xml:space="preserve">Supporting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500"/>
        <w:gridCol w:w="1400"/>
        <w:gridCol w:w="2260"/>
      </w:tblGrid>
      <w:tr>
        <w:trPr>
          <w:tblHeader/>
        </w:trPr>
        <w:tc>
          <w:tcPr>
            <w:tcW w:type="dxa" w:w="42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Control</w:t>
            </w:r>
          </w:p>
        </w:tc>
        <w:tc>
          <w:tcPr>
            <w:tcW w:type="dxa" w:w="15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Status (Y / N / N/A)</w:t>
            </w:r>
          </w:p>
        </w:tc>
        <w:tc>
          <w:tcPr>
            <w:tcW w:type="dxa" w:w="14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Owner</w:t>
            </w:r>
          </w:p>
        </w:tc>
        <w:tc>
          <w:tcPr>
            <w:tcW w:type="dxa" w:w="226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Evidence or notes</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Company-managed devices default to the corporate tenant when the tool is opened.</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Employees have a fast, sanctioned alternative for each common personal-account use case, so the workaround is unnecessary.</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Where personal-account use is discovered, there is a defined remediation path: revoke, retrieve or delete data, and retrain.</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Onboarding explains the enterprise vs. personal distinction with concrete examples.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bl>
    <w:p>
      <w:pPr>
        <w:pStyle w:val="Heading1"/>
      </w:pPr>
      <w:r>
        <w:t xml:space="preserve">5. Compliance Considerations</w:t>
      </w:r>
    </w:p>
    <w:p>
      <w:pPr>
        <w:spacing w:after="140"/>
      </w:pPr>
      <w:r>
        <w:t xml:space="preserve">Goal: the deployment holds up under an audit, a customer security questionnaire, or a contract review.</w:t>
      </w:r>
    </w:p>
    <w:p>
      <w:pPr>
        <w:pStyle w:val="Heading2"/>
      </w:pPr>
      <w:r>
        <w:t xml:space="preserve">Critical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500"/>
        <w:gridCol w:w="1400"/>
        <w:gridCol w:w="2260"/>
      </w:tblGrid>
      <w:tr>
        <w:trPr>
          <w:tblHeader/>
        </w:trPr>
        <w:tc>
          <w:tcPr>
            <w:tcW w:type="dxa" w:w="42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Control</w:t>
            </w:r>
          </w:p>
        </w:tc>
        <w:tc>
          <w:tcPr>
            <w:tcW w:type="dxa" w:w="15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Status (Y / N / N/A)</w:t>
            </w:r>
          </w:p>
        </w:tc>
        <w:tc>
          <w:tcPr>
            <w:tcW w:type="dxa" w:w="14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Owner</w:t>
            </w:r>
          </w:p>
        </w:tc>
        <w:tc>
          <w:tcPr>
            <w:tcW w:type="dxa" w:w="226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Evidence or notes</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Applicable frameworks and obligations are identified for this tool: [CMMC / NIST 800-171 / NIST AI RMF / ISO 42001 / HIPAA / PCI DSS / SOC 2 / GDPR / state privacy laws].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Contract and flow-down requirements from customers and agencies have been checked for AI, subcontracting, and disclosure clauses.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Regulated data handling in this tool has been reviewed and approved in writing by [Compliance Owner], or is prohibited.</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Vendor assurance evidence has been collected and reviewed: SOC 2 Type II or ISO 27001 report, penetration test summary, and security documentation.</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AI use is covered by the incident response plan, including who is notified when data is exposed through a prompt.</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bl>
    <w:p>
      <w:pPr>
        <w:pStyle w:val="Heading2"/>
      </w:pPr>
      <w:r>
        <w:t xml:space="preserve">Supporting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500"/>
        <w:gridCol w:w="1400"/>
        <w:gridCol w:w="2260"/>
      </w:tblGrid>
      <w:tr>
        <w:trPr>
          <w:tblHeader/>
        </w:trPr>
        <w:tc>
          <w:tcPr>
            <w:tcW w:type="dxa" w:w="42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Control</w:t>
            </w:r>
          </w:p>
        </w:tc>
        <w:tc>
          <w:tcPr>
            <w:tcW w:type="dxa" w:w="15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Status (Y / N / N/A)</w:t>
            </w:r>
          </w:p>
        </w:tc>
        <w:tc>
          <w:tcPr>
            <w:tcW w:type="dxa" w:w="14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Owner</w:t>
            </w:r>
          </w:p>
        </w:tc>
        <w:tc>
          <w:tcPr>
            <w:tcW w:type="dxa" w:w="226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Evidence or notes</w:t>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Human review requirements are defined for any decision affecting employment, credit, pricing, safety, or legal position.</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Disclosure obligations to customers, agencies, or end users are documented and met.</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Records are retained showing who approved the tool, on what basis, and when — the artifact auditors ask for.</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Bias, accuracy, and fitness-for-purpose have been evaluated for any consequential use case.</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Insurance and legal counsel have reviewed AI exposure where the use case is material.</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c>
          <w:tcPr>
            <w:tcW w:type="dxa" w:w="2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bl>
    <w:p>
      <w:pPr>
        <w:pStyle w:val="Heading1"/>
      </w:pPr>
      <w:r>
        <w:t xml:space="preserve">Sign-off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rPr>
          <w:tblHeader/>
        </w:trPr>
        <w:tc>
          <w:tcPr>
            <w:tcW w:type="dxa" w:w="40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Field</w:t>
            </w:r>
          </w:p>
        </w:tc>
        <w:tc>
          <w:tcPr>
            <w:tcW w:type="dxa" w:w="536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Entry</w:t>
            </w:r>
          </w:p>
        </w:tc>
      </w:tr>
      <w:t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Tool / system reviewed</w:t>
            </w: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Business owner</w:t>
            </w: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Security reviewer</w:t>
            </w: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Compliance reviewer</w:t>
            </w: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Decision (approve / approve with conditions / deny)</w:t>
            </w: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Conditions or accepted risks</w:t>
            </w: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Date and next review date</w:t>
            </w: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
            </w:r>
          </w:p>
        </w:tc>
      </w:tr>
    </w:tbl>
    <w:p>
      <w:pPr>
        <w:spacing w:after="140" w:before="220"/>
      </w:pPr>
      <w:r>
        <w:rPr>
          <w:i/>
          <w:iCs/>
          <w:color w:val="777777"/>
          <w:sz w:val="18"/>
          <w:szCs w:val="18"/>
        </w:rPr>
        <w:t xml:space="preserve">This checklist is a starting point, not legal advice. Have counsel and your compliance owner review anything that flows into a customer contract or regulated environment.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t xml:space="preserve">Page </w:t>
    </w: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120"/>
    </w:pPr>
    <w:rPr>
      <w:rFonts w:ascii="Arial" w:cs="Arial" w:eastAsia="Arial" w:hAnsi="Arial"/>
      <w:b/>
      <w:bCs/>
      <w:color w:val="1F2A44"/>
      <w:sz w:val="40"/>
      <w:szCs w:val="40"/>
    </w:rPr>
  </w:style>
  <w:style w:type="paragraph" w:styleId="Heading1">
    <w:name w:val="Heading 1"/>
    <w:basedOn w:val="Normal"/>
    <w:next w:val="Normal"/>
    <w:qFormat/>
    <w:pPr>
      <w:spacing w:after="160" w:before="320"/>
      <w:outlineLvl w:val="0"/>
    </w:pPr>
    <w:rPr>
      <w:rFonts w:ascii="Arial" w:cs="Arial" w:eastAsia="Arial" w:hAnsi="Arial"/>
      <w:b/>
      <w:bCs/>
      <w:color w:val="1F2A44"/>
      <w:sz w:val="28"/>
      <w:szCs w:val="28"/>
    </w:rPr>
  </w:style>
  <w:style w:type="paragraph" w:styleId="Heading2">
    <w:name w:val="Heading 2"/>
    <w:basedOn w:val="Normal"/>
    <w:next w:val="Normal"/>
    <w:qFormat/>
    <w:pPr>
      <w:spacing w:after="100" w:before="220"/>
      <w:outlineLvl w:val="1"/>
    </w:pPr>
    <w:rPr>
      <w:rFonts w:ascii="Arial" w:cs="Arial" w:eastAsia="Arial" w:hAnsi="Arial"/>
      <w:b/>
      <w:bCs/>
      <w:color w:val="1F2A4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2026-08-05T21:58:58.382Z</dcterms:created>
  <dcterms:modified xsi:type="dcterms:W3CDTF">2026-08-05T21:58:58.382Z</dcterms:modified>
</cp:coreProperties>
</file>

<file path=docProps/custom.xml><?xml version="1.0" encoding="utf-8"?>
<Properties xmlns="http://schemas.openxmlformats.org/officeDocument/2006/custom-properties" xmlns:vt="http://schemas.openxmlformats.org/officeDocument/2006/docPropsVTypes"/>
</file>